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AC0" w:rsidRDefault="00986AC0">
      <w:pPr>
        <w:pStyle w:val="Balk1"/>
        <w:spacing w:before="75"/>
        <w:ind w:left="0"/>
        <w:jc w:val="center"/>
        <w:rPr>
          <w:szCs w:val="24"/>
        </w:rPr>
      </w:pPr>
      <w:bookmarkStart w:id="0" w:name="_GoBack"/>
      <w:bookmarkEnd w:id="0"/>
    </w:p>
    <w:p w:rsidR="00986AC0" w:rsidRDefault="00FA2508">
      <w:pPr>
        <w:pStyle w:val="AralkYok"/>
        <w:jc w:val="both"/>
        <w:rPr>
          <w:rFonts w:ascii="Arial" w:eastAsia="Arial" w:hAnsi="Arial" w:cs="Arial"/>
          <w:b/>
          <w:bCs/>
        </w:rPr>
      </w:pPr>
      <w:r>
        <w:rPr>
          <w:rFonts w:ascii="Arial" w:eastAsia="Arial" w:hAnsi="Arial" w:cs="Arial"/>
          <w:b/>
          <w:bCs/>
        </w:rPr>
        <w:t>1. Proje Tanımı</w:t>
      </w:r>
    </w:p>
    <w:p w:rsidR="00986AC0" w:rsidRDefault="00986AC0">
      <w:pPr>
        <w:pStyle w:val="AralkYok"/>
        <w:jc w:val="both"/>
        <w:rPr>
          <w:rFonts w:ascii="Arial" w:hAnsi="Arial" w:cs="Arial"/>
          <w:lang w:val="en-US"/>
        </w:rPr>
      </w:pPr>
    </w:p>
    <w:p w:rsidR="00986AC0" w:rsidRDefault="00FA2508">
      <w:pPr>
        <w:pStyle w:val="AralkYok"/>
        <w:spacing w:line="276" w:lineRule="auto"/>
        <w:jc w:val="both"/>
        <w:rPr>
          <w:rFonts w:ascii="Arial" w:hAnsi="Arial" w:cs="Arial"/>
        </w:rPr>
      </w:pPr>
      <w:r>
        <w:rPr>
          <w:rFonts w:ascii="Arial" w:hAnsi="Arial" w:cs="Arial"/>
        </w:rPr>
        <w:t>TU11 üyesi üniversiteler arasında iş birliğini güçlendirmek ve ulusal kalkınma hedefleri doğrultusunda kritik araştırma alanlarında sinerji yaratmak amacıyla ortak projeler hayata geçirilecektir. Bu çağrı kapsamında sunulacak projelerin,</w:t>
      </w:r>
      <w:r>
        <w:rPr>
          <w:rFonts w:ascii="Arial" w:hAnsi="Arial" w:cs="Arial"/>
        </w:rPr>
        <w:t xml:space="preserve"> TÜBİTAK’ın 2024–2025 Öncelikli Ar-Ge ve Yenilik Konuları dokümanında detaylandırılan aşağıdaki ana temalarla ilişkilendirilmesi beklenmektedir: (1) Yeşil Büyüme Teknoloji Yol Haritası, (2) Avrupa Yeşil Mutabakatı ve İklim Değişikliğine Uyum, (3) Afet Önce</w:t>
      </w:r>
      <w:r>
        <w:rPr>
          <w:rFonts w:ascii="Arial" w:hAnsi="Arial" w:cs="Arial"/>
        </w:rPr>
        <w:t>si, Sırası ve Sonrasına Yönelik Araştırmalar ve Teknolojiler, (4) Kalkınma Planı Öncelikli ve Kilit Teknoloji Alanları. Belirtilen ana temalar doğrultusunda geliştirilecek projeler, kısa vadede kritik ihtiyaçlara çözüm sunarken, uzun vadede daha büyük ölçe</w:t>
      </w:r>
      <w:r>
        <w:rPr>
          <w:rFonts w:ascii="Arial" w:hAnsi="Arial" w:cs="Arial"/>
        </w:rPr>
        <w:t>kli fon kaynaklarına başvurular için temel oluşturacaktır. TU11 üniversitelerinin güçlü yönleri çerçevesinde, uzun vadeli bir araştırma ve inovasyon ekosistemi oluşturulması hedeflenmektedir.</w:t>
      </w:r>
    </w:p>
    <w:p w:rsidR="00986AC0" w:rsidRDefault="00986AC0">
      <w:pPr>
        <w:pStyle w:val="AralkYok"/>
        <w:jc w:val="both"/>
        <w:rPr>
          <w:rFonts w:ascii="Arial" w:eastAsia="Arial" w:hAnsi="Arial" w:cs="Arial"/>
          <w:b/>
          <w:bCs/>
          <w:color w:val="001F5F"/>
        </w:rPr>
      </w:pPr>
    </w:p>
    <w:p w:rsidR="00986AC0" w:rsidRDefault="00FA2508">
      <w:pPr>
        <w:pStyle w:val="AralkYok"/>
        <w:jc w:val="both"/>
        <w:rPr>
          <w:rFonts w:ascii="Arial" w:eastAsia="Arial" w:hAnsi="Arial" w:cs="Arial"/>
          <w:b/>
          <w:bCs/>
        </w:rPr>
      </w:pPr>
      <w:r>
        <w:rPr>
          <w:rFonts w:ascii="Arial" w:eastAsia="Arial" w:hAnsi="Arial" w:cs="Arial"/>
          <w:b/>
          <w:bCs/>
        </w:rPr>
        <w:t>2. Başvuru Koşulları</w:t>
      </w:r>
    </w:p>
    <w:p w:rsidR="00986AC0" w:rsidRDefault="00986AC0">
      <w:pPr>
        <w:pStyle w:val="AralkYok"/>
        <w:jc w:val="both"/>
        <w:rPr>
          <w:rFonts w:ascii="Arial" w:hAnsi="Arial" w:cs="Arial"/>
        </w:rPr>
      </w:pPr>
    </w:p>
    <w:p w:rsidR="00986AC0" w:rsidRDefault="00FA2508">
      <w:pPr>
        <w:pStyle w:val="AralkYok"/>
        <w:numPr>
          <w:ilvl w:val="0"/>
          <w:numId w:val="1"/>
        </w:numPr>
        <w:jc w:val="both"/>
        <w:rPr>
          <w:rFonts w:ascii="Arial" w:hAnsi="Arial" w:cs="Arial"/>
        </w:rPr>
      </w:pPr>
      <w:r>
        <w:rPr>
          <w:rFonts w:ascii="Arial" w:hAnsi="Arial" w:cs="Arial"/>
        </w:rPr>
        <w:t>Her proje, (İYTE dahil) en az üç farklı T</w:t>
      </w:r>
      <w:r>
        <w:rPr>
          <w:rFonts w:ascii="Arial" w:hAnsi="Arial" w:cs="Arial"/>
        </w:rPr>
        <w:t>U11 üyesi üniversitenin eş zamanlı iş birliğiyle oluşturulmalıdır.</w:t>
      </w:r>
    </w:p>
    <w:p w:rsidR="00986AC0" w:rsidRDefault="00986AC0">
      <w:pPr>
        <w:pStyle w:val="AralkYok"/>
        <w:ind w:left="720"/>
        <w:jc w:val="both"/>
        <w:rPr>
          <w:rFonts w:ascii="Arial" w:hAnsi="Arial" w:cs="Arial"/>
        </w:rPr>
      </w:pPr>
    </w:p>
    <w:p w:rsidR="00986AC0" w:rsidRDefault="00FA2508">
      <w:pPr>
        <w:pStyle w:val="AralkYok"/>
        <w:numPr>
          <w:ilvl w:val="0"/>
          <w:numId w:val="1"/>
        </w:numPr>
        <w:jc w:val="both"/>
        <w:rPr>
          <w:rFonts w:ascii="Arial" w:hAnsi="Arial" w:cs="Arial"/>
        </w:rPr>
      </w:pPr>
      <w:r>
        <w:rPr>
          <w:rFonts w:ascii="Arial" w:hAnsi="Arial" w:cs="Arial"/>
        </w:rPr>
        <w:t xml:space="preserve">Projeler, TÜBİTAK’ın 2024-2025 Öncelikli Ar-Ge ve Yenilik Konuları ile ilişkili olmalıdır. </w:t>
      </w:r>
    </w:p>
    <w:p w:rsidR="00986AC0" w:rsidRDefault="00986AC0">
      <w:pPr>
        <w:pStyle w:val="AralkYok"/>
        <w:jc w:val="both"/>
        <w:rPr>
          <w:rFonts w:ascii="Arial" w:hAnsi="Arial" w:cs="Arial"/>
        </w:rPr>
      </w:pPr>
    </w:p>
    <w:p w:rsidR="00986AC0" w:rsidRDefault="00FA2508">
      <w:pPr>
        <w:pStyle w:val="AralkYok"/>
        <w:numPr>
          <w:ilvl w:val="0"/>
          <w:numId w:val="1"/>
        </w:numPr>
        <w:jc w:val="both"/>
        <w:rPr>
          <w:rFonts w:ascii="Arial" w:hAnsi="Arial" w:cs="Arial"/>
        </w:rPr>
      </w:pPr>
      <w:r>
        <w:rPr>
          <w:rFonts w:ascii="Arial" w:hAnsi="Arial" w:cs="Arial"/>
        </w:rPr>
        <w:t>Her projede, yalnızca yürütücü, projenin kendi kapsamındaki faaliyetleri için kendi üniversites</w:t>
      </w:r>
      <w:r>
        <w:rPr>
          <w:rFonts w:ascii="Arial" w:hAnsi="Arial" w:cs="Arial"/>
        </w:rPr>
        <w:t xml:space="preserve">inin BAP birimine başvurmalıdır.  </w:t>
      </w:r>
    </w:p>
    <w:p w:rsidR="00986AC0" w:rsidRDefault="00986AC0">
      <w:pPr>
        <w:pStyle w:val="AralkYok"/>
        <w:jc w:val="both"/>
        <w:rPr>
          <w:rFonts w:ascii="Arial" w:hAnsi="Arial" w:cs="Arial"/>
        </w:rPr>
      </w:pPr>
    </w:p>
    <w:p w:rsidR="00986AC0" w:rsidRDefault="00FA2508">
      <w:pPr>
        <w:pStyle w:val="AralkYok"/>
        <w:numPr>
          <w:ilvl w:val="0"/>
          <w:numId w:val="1"/>
        </w:numPr>
        <w:jc w:val="both"/>
        <w:rPr>
          <w:rFonts w:ascii="Arial" w:hAnsi="Arial" w:cs="Arial"/>
        </w:rPr>
      </w:pPr>
      <w:r>
        <w:rPr>
          <w:rFonts w:ascii="Arial" w:hAnsi="Arial" w:cs="Arial"/>
        </w:rPr>
        <w:t xml:space="preserve">Projeler, üniversiteler arasında ortak hedefler, yöntemler ve çıktı planları gözetilerek </w:t>
      </w:r>
    </w:p>
    <w:p w:rsidR="00986AC0" w:rsidRDefault="00FA2508">
      <w:pPr>
        <w:pStyle w:val="AralkYok"/>
        <w:ind w:left="720"/>
        <w:jc w:val="both"/>
        <w:rPr>
          <w:rFonts w:ascii="Arial" w:hAnsi="Arial" w:cs="Arial"/>
        </w:rPr>
      </w:pPr>
      <w:r>
        <w:rPr>
          <w:rFonts w:ascii="Arial" w:hAnsi="Arial" w:cs="Arial"/>
        </w:rPr>
        <w:t>Eş</w:t>
      </w:r>
      <w:r>
        <w:rPr>
          <w:rFonts w:ascii="Arial" w:hAnsi="Arial" w:cs="Arial"/>
        </w:rPr>
        <w:t xml:space="preserve"> </w:t>
      </w:r>
      <w:r>
        <w:rPr>
          <w:rFonts w:ascii="Arial" w:hAnsi="Arial" w:cs="Arial"/>
        </w:rPr>
        <w:t xml:space="preserve">güdüm içerisinde yürütülmelidir.  </w:t>
      </w:r>
    </w:p>
    <w:p w:rsidR="00986AC0" w:rsidRDefault="00986AC0">
      <w:pPr>
        <w:pStyle w:val="AralkYok"/>
        <w:jc w:val="both"/>
        <w:rPr>
          <w:rFonts w:ascii="Arial" w:hAnsi="Arial" w:cs="Arial"/>
        </w:rPr>
      </w:pPr>
    </w:p>
    <w:p w:rsidR="00986AC0" w:rsidRDefault="00FA2508">
      <w:pPr>
        <w:pStyle w:val="AralkYok"/>
        <w:numPr>
          <w:ilvl w:val="0"/>
          <w:numId w:val="1"/>
        </w:numPr>
        <w:jc w:val="both"/>
        <w:rPr>
          <w:rFonts w:ascii="Arial" w:hAnsi="Arial" w:cs="Arial"/>
        </w:rPr>
      </w:pPr>
      <w:r>
        <w:rPr>
          <w:rFonts w:ascii="Arial" w:hAnsi="Arial" w:cs="Arial"/>
        </w:rPr>
        <w:t xml:space="preserve">Başvurular, sadece öğretim üyeleri tarafından yapılabilir.  </w:t>
      </w:r>
    </w:p>
    <w:p w:rsidR="00986AC0" w:rsidRDefault="00986AC0">
      <w:pPr>
        <w:pStyle w:val="AralkYok"/>
        <w:jc w:val="both"/>
        <w:rPr>
          <w:rFonts w:ascii="Arial" w:hAnsi="Arial" w:cs="Arial"/>
        </w:rPr>
      </w:pPr>
    </w:p>
    <w:p w:rsidR="00986AC0" w:rsidRDefault="00FA2508">
      <w:pPr>
        <w:pStyle w:val="AralkYok"/>
        <w:numPr>
          <w:ilvl w:val="0"/>
          <w:numId w:val="1"/>
        </w:numPr>
        <w:jc w:val="both"/>
        <w:rPr>
          <w:rFonts w:ascii="Arial" w:hAnsi="Arial" w:cs="Arial"/>
        </w:rPr>
      </w:pPr>
      <w:r>
        <w:rPr>
          <w:rFonts w:ascii="Arial" w:hAnsi="Arial" w:cs="Arial"/>
        </w:rPr>
        <w:t>Projelerin süresi en fazla 36</w:t>
      </w:r>
      <w:r>
        <w:rPr>
          <w:rFonts w:ascii="Arial" w:hAnsi="Arial" w:cs="Arial"/>
        </w:rPr>
        <w:t xml:space="preserve"> ay (ek süreler dahil) olabilir.  </w:t>
      </w:r>
    </w:p>
    <w:p w:rsidR="00986AC0" w:rsidRDefault="00986AC0">
      <w:pPr>
        <w:pStyle w:val="AralkYok"/>
        <w:jc w:val="both"/>
        <w:rPr>
          <w:rFonts w:ascii="Arial" w:eastAsia="Arial" w:hAnsi="Arial" w:cs="Arial"/>
          <w:b/>
          <w:bCs/>
        </w:rPr>
      </w:pPr>
    </w:p>
    <w:p w:rsidR="00986AC0" w:rsidRDefault="00FA2508">
      <w:pPr>
        <w:pStyle w:val="AralkYok"/>
        <w:jc w:val="both"/>
        <w:rPr>
          <w:rFonts w:ascii="Arial" w:eastAsia="Arial" w:hAnsi="Arial" w:cs="Arial"/>
          <w:b/>
          <w:bCs/>
        </w:rPr>
      </w:pPr>
      <w:r>
        <w:rPr>
          <w:rFonts w:ascii="Arial" w:eastAsia="Arial" w:hAnsi="Arial" w:cs="Arial"/>
          <w:b/>
          <w:bCs/>
        </w:rPr>
        <w:t>3. Destek Tutarı ve Bütçe</w:t>
      </w:r>
    </w:p>
    <w:p w:rsidR="00986AC0" w:rsidRDefault="00986AC0">
      <w:pPr>
        <w:pStyle w:val="AralkYok"/>
        <w:jc w:val="both"/>
        <w:rPr>
          <w:rFonts w:ascii="Arial" w:eastAsia="Arial" w:hAnsi="Arial" w:cs="Arial"/>
          <w:b/>
          <w:bCs/>
        </w:rPr>
      </w:pPr>
    </w:p>
    <w:p w:rsidR="00986AC0" w:rsidRDefault="00FA2508">
      <w:pPr>
        <w:pStyle w:val="AralkYok"/>
        <w:numPr>
          <w:ilvl w:val="0"/>
          <w:numId w:val="2"/>
        </w:numPr>
        <w:jc w:val="both"/>
        <w:rPr>
          <w:rFonts w:ascii="Arial" w:hAnsi="Arial" w:cs="Arial"/>
        </w:rPr>
      </w:pPr>
      <w:r>
        <w:t xml:space="preserve">Her üniversite, proje fonuna katkı sağlamak üzere kendi bütçe fonunu belirler. </w:t>
      </w:r>
      <w:r>
        <w:rPr>
          <w:rFonts w:ascii="Arial" w:hAnsi="Arial" w:cs="Arial"/>
        </w:rPr>
        <w:t xml:space="preserve">İYTE’li proje yürütücüleri için proje başına destek miktarı üst limiti 400.000 TL’dir. </w:t>
      </w:r>
    </w:p>
    <w:p w:rsidR="00986AC0" w:rsidRDefault="00986AC0">
      <w:pPr>
        <w:pStyle w:val="AralkYok"/>
        <w:ind w:left="720"/>
        <w:jc w:val="both"/>
        <w:rPr>
          <w:rFonts w:ascii="Arial" w:hAnsi="Arial" w:cs="Arial"/>
        </w:rPr>
      </w:pPr>
    </w:p>
    <w:p w:rsidR="00986AC0" w:rsidRDefault="00FA2508">
      <w:pPr>
        <w:pStyle w:val="AralkYok"/>
        <w:numPr>
          <w:ilvl w:val="0"/>
          <w:numId w:val="2"/>
        </w:numPr>
        <w:jc w:val="both"/>
        <w:rPr>
          <w:rFonts w:ascii="Arial" w:hAnsi="Arial" w:cs="Arial"/>
        </w:rPr>
      </w:pPr>
      <w:r>
        <w:rPr>
          <w:rFonts w:ascii="Arial" w:hAnsi="Arial" w:cs="Arial"/>
        </w:rPr>
        <w:t xml:space="preserve">Bütçeler İYTE BAP yönergesi ve harcama esaslarına göre hazırlanır.  </w:t>
      </w:r>
    </w:p>
    <w:p w:rsidR="00986AC0" w:rsidRDefault="00986AC0">
      <w:pPr>
        <w:pStyle w:val="AralkYok"/>
        <w:jc w:val="both"/>
        <w:rPr>
          <w:rFonts w:ascii="Arial" w:hAnsi="Arial" w:cs="Arial"/>
        </w:rPr>
      </w:pPr>
    </w:p>
    <w:p w:rsidR="00986AC0" w:rsidRDefault="00FA2508">
      <w:pPr>
        <w:pStyle w:val="AralkYok"/>
        <w:numPr>
          <w:ilvl w:val="0"/>
          <w:numId w:val="2"/>
        </w:numPr>
        <w:jc w:val="both"/>
        <w:rPr>
          <w:rFonts w:ascii="Arial" w:hAnsi="Arial" w:cs="Arial"/>
        </w:rPr>
      </w:pPr>
      <w:r>
        <w:rPr>
          <w:rFonts w:ascii="Arial" w:hAnsi="Arial" w:cs="Arial"/>
        </w:rPr>
        <w:t xml:space="preserve">Harcamalar proje için tahsis edilen İYTE BAP bütçesinden gerçekleştirilir.  </w:t>
      </w:r>
    </w:p>
    <w:p w:rsidR="00986AC0" w:rsidRDefault="00986AC0">
      <w:pPr>
        <w:pStyle w:val="AralkYok"/>
        <w:jc w:val="both"/>
        <w:rPr>
          <w:rFonts w:ascii="Arial" w:hAnsi="Arial" w:cs="Arial"/>
        </w:rPr>
      </w:pPr>
    </w:p>
    <w:p w:rsidR="00986AC0" w:rsidRDefault="00986AC0">
      <w:pPr>
        <w:pStyle w:val="AralkYok"/>
        <w:jc w:val="both"/>
        <w:rPr>
          <w:rFonts w:ascii="Arial" w:hAnsi="Arial" w:cs="Arial"/>
        </w:rPr>
      </w:pPr>
    </w:p>
    <w:p w:rsidR="00986AC0" w:rsidRDefault="00986AC0">
      <w:pPr>
        <w:pStyle w:val="AralkYok"/>
        <w:jc w:val="both"/>
        <w:rPr>
          <w:rFonts w:ascii="Arial" w:hAnsi="Arial" w:cs="Arial"/>
        </w:rPr>
      </w:pPr>
    </w:p>
    <w:p w:rsidR="00986AC0" w:rsidRDefault="00986AC0">
      <w:pPr>
        <w:pStyle w:val="AralkYok"/>
        <w:jc w:val="both"/>
        <w:rPr>
          <w:rFonts w:ascii="Arial" w:hAnsi="Arial" w:cs="Arial"/>
        </w:rPr>
      </w:pPr>
    </w:p>
    <w:p w:rsidR="00986AC0" w:rsidRDefault="00986AC0">
      <w:pPr>
        <w:pStyle w:val="AralkYok"/>
        <w:jc w:val="both"/>
        <w:rPr>
          <w:rFonts w:ascii="Arial" w:hAnsi="Arial" w:cs="Arial"/>
        </w:rPr>
      </w:pPr>
    </w:p>
    <w:p w:rsidR="00986AC0" w:rsidRDefault="00986AC0">
      <w:pPr>
        <w:pStyle w:val="AralkYok"/>
        <w:jc w:val="both"/>
        <w:rPr>
          <w:rFonts w:ascii="Arial" w:hAnsi="Arial" w:cs="Arial"/>
        </w:rPr>
      </w:pPr>
    </w:p>
    <w:p w:rsidR="00986AC0" w:rsidRDefault="00986AC0">
      <w:pPr>
        <w:pStyle w:val="AralkYok"/>
        <w:jc w:val="both"/>
        <w:rPr>
          <w:rFonts w:ascii="Arial" w:hAnsi="Arial" w:cs="Arial"/>
        </w:rPr>
      </w:pPr>
    </w:p>
    <w:p w:rsidR="00986AC0" w:rsidRDefault="00FA2508">
      <w:pPr>
        <w:pStyle w:val="AralkYok"/>
        <w:jc w:val="both"/>
        <w:rPr>
          <w:rFonts w:ascii="Arial" w:hAnsi="Arial" w:cs="Arial"/>
        </w:rPr>
      </w:pPr>
      <w:r>
        <w:rPr>
          <w:rFonts w:ascii="Arial" w:hAnsi="Arial" w:cs="Arial"/>
        </w:rPr>
        <w:t xml:space="preserve"> </w:t>
      </w:r>
    </w:p>
    <w:p w:rsidR="00986AC0" w:rsidRDefault="00FA2508">
      <w:pPr>
        <w:pStyle w:val="AralkYok"/>
        <w:jc w:val="both"/>
        <w:rPr>
          <w:rFonts w:ascii="Arial" w:eastAsia="Arial" w:hAnsi="Arial" w:cs="Arial"/>
          <w:b/>
          <w:bCs/>
        </w:rPr>
      </w:pPr>
      <w:bookmarkStart w:id="1" w:name="_Hlk204590182"/>
      <w:r>
        <w:rPr>
          <w:rFonts w:ascii="Arial" w:eastAsia="Arial" w:hAnsi="Arial" w:cs="Arial"/>
          <w:b/>
          <w:bCs/>
        </w:rPr>
        <w:lastRenderedPageBreak/>
        <w:t>4. Projelerin Değerlendirilmesi</w:t>
      </w:r>
      <w:r>
        <w:rPr>
          <w:rFonts w:ascii="Arial" w:eastAsia="Arial" w:hAnsi="Arial" w:cs="Arial"/>
          <w:b/>
          <w:bCs/>
        </w:rPr>
        <w:tab/>
      </w:r>
    </w:p>
    <w:p w:rsidR="00986AC0" w:rsidRDefault="00986AC0">
      <w:pPr>
        <w:pStyle w:val="AralkYok"/>
        <w:jc w:val="both"/>
        <w:rPr>
          <w:rFonts w:ascii="Arial" w:eastAsia="Arial" w:hAnsi="Arial" w:cs="Arial"/>
          <w:b/>
          <w:bCs/>
        </w:rPr>
      </w:pPr>
    </w:p>
    <w:bookmarkEnd w:id="1"/>
    <w:p w:rsidR="00986AC0" w:rsidRDefault="00FA2508">
      <w:pPr>
        <w:pStyle w:val="AralkYok"/>
        <w:numPr>
          <w:ilvl w:val="0"/>
          <w:numId w:val="3"/>
        </w:numPr>
        <w:jc w:val="both"/>
        <w:rPr>
          <w:rFonts w:ascii="Arial" w:hAnsi="Arial" w:cs="Arial"/>
        </w:rPr>
      </w:pPr>
      <w:r>
        <w:rPr>
          <w:rFonts w:ascii="Arial" w:hAnsi="Arial" w:cs="Arial"/>
        </w:rPr>
        <w:t>Başvurular, her üniversitenin kendi BAP komisyonu tarafından değer</w:t>
      </w:r>
      <w:r>
        <w:rPr>
          <w:rFonts w:ascii="Arial" w:hAnsi="Arial" w:cs="Arial"/>
        </w:rPr>
        <w:t>lendirilir.</w:t>
      </w:r>
    </w:p>
    <w:p w:rsidR="00986AC0" w:rsidRDefault="00986AC0">
      <w:pPr>
        <w:pStyle w:val="AralkYok"/>
        <w:ind w:firstLine="120"/>
        <w:jc w:val="both"/>
        <w:rPr>
          <w:rFonts w:ascii="Arial" w:hAnsi="Arial" w:cs="Arial"/>
        </w:rPr>
      </w:pPr>
    </w:p>
    <w:p w:rsidR="00986AC0" w:rsidRDefault="00FA2508">
      <w:pPr>
        <w:pStyle w:val="AralkYok"/>
        <w:numPr>
          <w:ilvl w:val="0"/>
          <w:numId w:val="3"/>
        </w:numPr>
        <w:jc w:val="both"/>
        <w:rPr>
          <w:rFonts w:ascii="Arial" w:hAnsi="Arial" w:cs="Arial"/>
        </w:rPr>
      </w:pPr>
      <w:r>
        <w:rPr>
          <w:rFonts w:ascii="Arial" w:hAnsi="Arial" w:cs="Arial"/>
        </w:rPr>
        <w:t>Eş</w:t>
      </w:r>
      <w:r>
        <w:rPr>
          <w:rFonts w:ascii="Arial" w:hAnsi="Arial" w:cs="Arial"/>
        </w:rPr>
        <w:t xml:space="preserve"> </w:t>
      </w:r>
      <w:r>
        <w:rPr>
          <w:rFonts w:ascii="Arial" w:hAnsi="Arial" w:cs="Arial"/>
        </w:rPr>
        <w:t xml:space="preserve">güdümlü başvuruların birbirini destekler ve tamamlayıcı yapıda olması beklenir.  </w:t>
      </w:r>
    </w:p>
    <w:p w:rsidR="00986AC0" w:rsidRDefault="00986AC0">
      <w:pPr>
        <w:pStyle w:val="AralkYok"/>
        <w:jc w:val="both"/>
        <w:rPr>
          <w:rFonts w:ascii="Arial" w:hAnsi="Arial" w:cs="Arial"/>
        </w:rPr>
      </w:pPr>
    </w:p>
    <w:p w:rsidR="00986AC0" w:rsidRDefault="00FA2508">
      <w:pPr>
        <w:pStyle w:val="AralkYok"/>
        <w:numPr>
          <w:ilvl w:val="0"/>
          <w:numId w:val="3"/>
        </w:numPr>
        <w:jc w:val="both"/>
        <w:rPr>
          <w:rFonts w:ascii="Arial" w:hAnsi="Arial" w:cs="Arial"/>
        </w:rPr>
      </w:pPr>
      <w:r>
        <w:rPr>
          <w:rFonts w:ascii="Arial" w:hAnsi="Arial" w:cs="Arial"/>
        </w:rPr>
        <w:t xml:space="preserve">Değerlendirmede, ortaklık yapısı, bilimsel katkı, çıktı potansiyeli ve uygulama kabiliyeti </w:t>
      </w:r>
    </w:p>
    <w:p w:rsidR="00986AC0" w:rsidRDefault="00FA2508">
      <w:pPr>
        <w:pStyle w:val="AralkYok"/>
        <w:ind w:left="720"/>
        <w:jc w:val="both"/>
        <w:rPr>
          <w:rFonts w:ascii="Arial" w:hAnsi="Arial" w:cs="Arial"/>
        </w:rPr>
      </w:pPr>
      <w:r>
        <w:rPr>
          <w:rFonts w:ascii="Arial" w:hAnsi="Arial" w:cs="Arial"/>
        </w:rPr>
        <w:t xml:space="preserve">dikkate alınır. </w:t>
      </w:r>
    </w:p>
    <w:p w:rsidR="00986AC0" w:rsidRDefault="00986AC0">
      <w:pPr>
        <w:pStyle w:val="AralkYok"/>
        <w:ind w:left="720"/>
        <w:jc w:val="both"/>
        <w:rPr>
          <w:rFonts w:ascii="Arial" w:hAnsi="Arial" w:cs="Arial"/>
        </w:rPr>
      </w:pPr>
    </w:p>
    <w:p w:rsidR="00986AC0" w:rsidRDefault="00986AC0">
      <w:pPr>
        <w:pStyle w:val="AralkYok"/>
        <w:jc w:val="both"/>
        <w:rPr>
          <w:rFonts w:ascii="Arial" w:hAnsi="Arial" w:cs="Arial"/>
        </w:rPr>
      </w:pPr>
    </w:p>
    <w:p w:rsidR="00986AC0" w:rsidRDefault="00FA2508">
      <w:pPr>
        <w:pStyle w:val="AralkYok"/>
        <w:jc w:val="both"/>
        <w:rPr>
          <w:rFonts w:ascii="Arial" w:hAnsi="Arial" w:cs="Arial"/>
          <w:b/>
        </w:rPr>
      </w:pPr>
      <w:r>
        <w:rPr>
          <w:rFonts w:ascii="Arial" w:hAnsi="Arial" w:cs="Arial"/>
          <w:b/>
        </w:rPr>
        <w:t xml:space="preserve"> 5. Beklenen Çıktılar  </w:t>
      </w:r>
    </w:p>
    <w:p w:rsidR="00986AC0" w:rsidRDefault="00986AC0">
      <w:pPr>
        <w:pStyle w:val="AralkYok"/>
        <w:jc w:val="both"/>
        <w:rPr>
          <w:rFonts w:ascii="Arial" w:hAnsi="Arial" w:cs="Arial"/>
          <w:b/>
        </w:rPr>
      </w:pPr>
    </w:p>
    <w:p w:rsidR="00986AC0" w:rsidRDefault="00FA2508">
      <w:pPr>
        <w:pStyle w:val="AralkYok"/>
        <w:numPr>
          <w:ilvl w:val="0"/>
          <w:numId w:val="4"/>
        </w:numPr>
        <w:jc w:val="both"/>
        <w:rPr>
          <w:rFonts w:ascii="Arial" w:hAnsi="Arial" w:cs="Arial"/>
        </w:rPr>
      </w:pPr>
      <w:r>
        <w:rPr>
          <w:rFonts w:ascii="Arial" w:hAnsi="Arial" w:cs="Arial"/>
        </w:rPr>
        <w:t>Ulusal ve uluslararas</w:t>
      </w:r>
      <w:r>
        <w:rPr>
          <w:rFonts w:ascii="Arial" w:hAnsi="Arial" w:cs="Arial"/>
        </w:rPr>
        <w:t xml:space="preserve">ı hakemli yayınlar, </w:t>
      </w:r>
    </w:p>
    <w:p w:rsidR="00986AC0" w:rsidRDefault="00986AC0">
      <w:pPr>
        <w:pStyle w:val="AralkYok"/>
        <w:ind w:firstLine="60"/>
        <w:jc w:val="both"/>
        <w:rPr>
          <w:rFonts w:ascii="Arial" w:hAnsi="Arial" w:cs="Arial"/>
        </w:rPr>
      </w:pPr>
    </w:p>
    <w:p w:rsidR="00986AC0" w:rsidRDefault="00FA2508">
      <w:pPr>
        <w:pStyle w:val="AralkYok"/>
        <w:numPr>
          <w:ilvl w:val="0"/>
          <w:numId w:val="4"/>
        </w:numPr>
        <w:jc w:val="both"/>
        <w:rPr>
          <w:rFonts w:ascii="Arial" w:hAnsi="Arial" w:cs="Arial"/>
        </w:rPr>
      </w:pPr>
      <w:r>
        <w:rPr>
          <w:rFonts w:ascii="Arial" w:hAnsi="Arial" w:cs="Arial"/>
        </w:rPr>
        <w:t xml:space="preserve">Yüksek lisans ve doktora tezleri,  </w:t>
      </w:r>
    </w:p>
    <w:p w:rsidR="00986AC0" w:rsidRDefault="00986AC0">
      <w:pPr>
        <w:pStyle w:val="AralkYok"/>
        <w:jc w:val="both"/>
        <w:rPr>
          <w:rFonts w:ascii="Arial" w:hAnsi="Arial" w:cs="Arial"/>
        </w:rPr>
      </w:pPr>
    </w:p>
    <w:p w:rsidR="00986AC0" w:rsidRDefault="00FA2508">
      <w:pPr>
        <w:pStyle w:val="AralkYok"/>
        <w:numPr>
          <w:ilvl w:val="0"/>
          <w:numId w:val="4"/>
        </w:numPr>
        <w:jc w:val="both"/>
        <w:rPr>
          <w:rFonts w:ascii="Arial" w:hAnsi="Arial" w:cs="Arial"/>
        </w:rPr>
      </w:pPr>
      <w:r>
        <w:rPr>
          <w:rFonts w:ascii="Arial" w:hAnsi="Arial" w:cs="Arial"/>
        </w:rPr>
        <w:t>Ulusal ve uluslararası fonlara yapılacak proje başvuruları,</w:t>
      </w:r>
    </w:p>
    <w:p w:rsidR="00986AC0" w:rsidRDefault="00986AC0">
      <w:pPr>
        <w:pStyle w:val="AralkYok"/>
        <w:ind w:left="720"/>
        <w:jc w:val="both"/>
        <w:rPr>
          <w:rFonts w:ascii="Arial" w:hAnsi="Arial" w:cs="Arial"/>
        </w:rPr>
      </w:pPr>
    </w:p>
    <w:p w:rsidR="00986AC0" w:rsidRDefault="00FA2508">
      <w:pPr>
        <w:pStyle w:val="AralkYok"/>
        <w:numPr>
          <w:ilvl w:val="0"/>
          <w:numId w:val="4"/>
        </w:numPr>
        <w:jc w:val="both"/>
        <w:rPr>
          <w:rFonts w:ascii="Arial" w:hAnsi="Arial" w:cs="Arial"/>
        </w:rPr>
      </w:pPr>
      <w:r>
        <w:t>Yeni ürün, hizmet, prototip ya da stratejik çözüm önerileri.</w:t>
      </w:r>
      <w:r>
        <w:rPr>
          <w:rFonts w:ascii="Arial" w:hAnsi="Arial" w:cs="Arial"/>
        </w:rPr>
        <w:t xml:space="preserve">  </w:t>
      </w:r>
    </w:p>
    <w:p w:rsidR="00986AC0" w:rsidRDefault="00986AC0">
      <w:pPr>
        <w:rPr>
          <w:rFonts w:ascii="Arial" w:hAnsi="Arial" w:cs="Arial"/>
          <w:bCs/>
          <w:sz w:val="20"/>
        </w:rPr>
      </w:pPr>
    </w:p>
    <w:p w:rsidR="00986AC0" w:rsidRDefault="00986AC0">
      <w:pPr>
        <w:rPr>
          <w:rFonts w:ascii="Arial" w:hAnsi="Arial" w:cs="Arial"/>
          <w:bCs/>
          <w:sz w:val="20"/>
        </w:rPr>
      </w:pPr>
    </w:p>
    <w:p w:rsidR="00986AC0" w:rsidRDefault="00986AC0">
      <w:pPr>
        <w:rPr>
          <w:rFonts w:ascii="Arial" w:hAnsi="Arial" w:cs="Arial"/>
          <w:bCs/>
          <w:sz w:val="20"/>
        </w:rPr>
      </w:pPr>
    </w:p>
    <w:p w:rsidR="00986AC0" w:rsidRDefault="00986AC0">
      <w:pPr>
        <w:rPr>
          <w:rFonts w:ascii="Arial" w:hAnsi="Arial" w:cs="Arial"/>
          <w:bCs/>
          <w:sz w:val="20"/>
        </w:rPr>
      </w:pPr>
    </w:p>
    <w:p w:rsidR="00986AC0" w:rsidRDefault="00986AC0">
      <w:pPr>
        <w:rPr>
          <w:rFonts w:ascii="Arial" w:hAnsi="Arial" w:cs="Arial"/>
          <w:bCs/>
          <w:sz w:val="20"/>
        </w:rPr>
      </w:pPr>
    </w:p>
    <w:p w:rsidR="00986AC0" w:rsidRDefault="00986AC0">
      <w:pPr>
        <w:rPr>
          <w:rFonts w:ascii="Arial" w:hAnsi="Arial" w:cs="Arial"/>
          <w:bCs/>
          <w:sz w:val="20"/>
        </w:rPr>
      </w:pPr>
    </w:p>
    <w:p w:rsidR="00986AC0" w:rsidRDefault="00986AC0">
      <w:pPr>
        <w:rPr>
          <w:rFonts w:ascii="Arial" w:hAnsi="Arial" w:cs="Arial"/>
          <w:bCs/>
          <w:sz w:val="20"/>
        </w:rPr>
      </w:pPr>
    </w:p>
    <w:p w:rsidR="00986AC0" w:rsidRDefault="00986AC0">
      <w:pPr>
        <w:rPr>
          <w:rFonts w:ascii="Arial" w:hAnsi="Arial" w:cs="Arial"/>
          <w:bCs/>
          <w:sz w:val="20"/>
        </w:rPr>
      </w:pPr>
    </w:p>
    <w:p w:rsidR="00986AC0" w:rsidRDefault="00986AC0">
      <w:pPr>
        <w:rPr>
          <w:rFonts w:ascii="Arial" w:hAnsi="Arial" w:cs="Arial"/>
          <w:bCs/>
          <w:sz w:val="20"/>
        </w:rPr>
      </w:pPr>
    </w:p>
    <w:p w:rsidR="00986AC0" w:rsidRDefault="00986AC0">
      <w:pPr>
        <w:rPr>
          <w:rFonts w:ascii="Arial" w:hAnsi="Arial" w:cs="Arial"/>
          <w:bCs/>
          <w:sz w:val="20"/>
        </w:rPr>
      </w:pPr>
    </w:p>
    <w:p w:rsidR="00986AC0" w:rsidRDefault="00986AC0">
      <w:pPr>
        <w:jc w:val="both"/>
        <w:rPr>
          <w:rFonts w:ascii="Arial" w:hAnsi="Arial" w:cs="Arial"/>
          <w:sz w:val="18"/>
          <w:szCs w:val="18"/>
        </w:rPr>
      </w:pPr>
    </w:p>
    <w:p w:rsidR="00986AC0" w:rsidRDefault="00986AC0">
      <w:pPr>
        <w:jc w:val="both"/>
        <w:rPr>
          <w:rFonts w:ascii="Arial" w:hAnsi="Arial" w:cs="Arial"/>
          <w:sz w:val="18"/>
          <w:szCs w:val="18"/>
        </w:rPr>
      </w:pPr>
    </w:p>
    <w:p w:rsidR="00986AC0" w:rsidRDefault="00986AC0">
      <w:pPr>
        <w:jc w:val="both"/>
        <w:rPr>
          <w:rFonts w:ascii="Arial" w:hAnsi="Arial" w:cs="Arial"/>
          <w:sz w:val="18"/>
          <w:szCs w:val="18"/>
        </w:rPr>
      </w:pPr>
    </w:p>
    <w:p w:rsidR="00986AC0" w:rsidRDefault="00986AC0">
      <w:pPr>
        <w:jc w:val="both"/>
        <w:rPr>
          <w:rFonts w:ascii="Arial" w:hAnsi="Arial" w:cs="Arial"/>
          <w:sz w:val="18"/>
          <w:szCs w:val="18"/>
        </w:rPr>
      </w:pPr>
    </w:p>
    <w:p w:rsidR="00986AC0" w:rsidRDefault="00986AC0">
      <w:pPr>
        <w:jc w:val="both"/>
        <w:rPr>
          <w:rFonts w:ascii="Arial" w:hAnsi="Arial" w:cs="Arial"/>
          <w:sz w:val="18"/>
          <w:szCs w:val="18"/>
        </w:rPr>
      </w:pPr>
    </w:p>
    <w:p w:rsidR="00986AC0" w:rsidRDefault="00986AC0"/>
    <w:sectPr w:rsidR="00986AC0">
      <w:headerReference w:type="even" r:id="rId7"/>
      <w:headerReference w:type="default" r:id="rId8"/>
      <w:footerReference w:type="even" r:id="rId9"/>
      <w:footerReference w:type="default" r:id="rId10"/>
      <w:headerReference w:type="first" r:id="rId11"/>
      <w:footerReference w:type="first" r:id="rId12"/>
      <w:pgSz w:w="11906" w:h="16838"/>
      <w:pgMar w:top="851" w:right="746" w:bottom="567" w:left="1418" w:header="283"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508" w:rsidRDefault="00FA2508">
      <w:r>
        <w:separator/>
      </w:r>
    </w:p>
  </w:endnote>
  <w:endnote w:type="continuationSeparator" w:id="0">
    <w:p w:rsidR="00FA2508" w:rsidRDefault="00FA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rkish Times New Roman">
    <w:altName w:val="Times New Roman"/>
    <w:charset w:val="00"/>
    <w:family w:val="roman"/>
    <w:pitch w:val="default"/>
  </w:font>
  <w:font w:name="Tahoma">
    <w:panose1 w:val="020B0604030504040204"/>
    <w:charset w:val="A2"/>
    <w:family w:val="swiss"/>
    <w:pitch w:val="variable"/>
    <w:sig w:usb0="E1002EFF" w:usb1="C000605B" w:usb2="00000029" w:usb3="00000000" w:csb0="000101FF" w:csb1="00000000"/>
  </w:font>
  <w:font w:name="Courier">
    <w:panose1 w:val="02070409020205020404"/>
    <w:charset w:val="00"/>
    <w:family w:val="modern"/>
    <w:pitch w:val="default"/>
    <w:sig w:usb0="00000000" w:usb1="00000000" w:usb2="00000000" w:usb3="00000000" w:csb0="00000001"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AC0" w:rsidRDefault="00FA250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986AC0" w:rsidRDefault="00986AC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AC0" w:rsidRDefault="00FA2508">
    <w:pPr>
      <w:pStyle w:val="AltBilgi"/>
      <w:jc w:val="right"/>
    </w:pPr>
    <w:r>
      <w:rPr>
        <w:b/>
        <w:bCs/>
        <w:szCs w:val="24"/>
      </w:rPr>
      <w:fldChar w:fldCharType="begin"/>
    </w:r>
    <w:r>
      <w:rPr>
        <w:b/>
        <w:bCs/>
      </w:rPr>
      <w:instrText xml:space="preserve"> PAGE </w:instrText>
    </w:r>
    <w:r>
      <w:rPr>
        <w:b/>
        <w:bCs/>
        <w:szCs w:val="24"/>
      </w:rPr>
      <w:fldChar w:fldCharType="separate"/>
    </w:r>
    <w:r w:rsidR="00070EED">
      <w:rPr>
        <w:b/>
        <w:bCs/>
        <w:noProof/>
      </w:rPr>
      <w:t>1</w:t>
    </w:r>
    <w:r>
      <w:rPr>
        <w:b/>
        <w:bCs/>
        <w:szCs w:val="24"/>
      </w:rPr>
      <w:fldChar w:fldCharType="end"/>
    </w:r>
    <w:r>
      <w:t xml:space="preserve"> / </w:t>
    </w:r>
    <w:r>
      <w:rPr>
        <w:b/>
        <w:bCs/>
        <w:szCs w:val="24"/>
      </w:rPr>
      <w:fldChar w:fldCharType="begin"/>
    </w:r>
    <w:r>
      <w:rPr>
        <w:b/>
        <w:bCs/>
      </w:rPr>
      <w:instrText xml:space="preserve"> NUMPAGES  </w:instrText>
    </w:r>
    <w:r>
      <w:rPr>
        <w:b/>
        <w:bCs/>
        <w:szCs w:val="24"/>
      </w:rPr>
      <w:fldChar w:fldCharType="separate"/>
    </w:r>
    <w:r w:rsidR="00070EED">
      <w:rPr>
        <w:b/>
        <w:bCs/>
        <w:noProof/>
      </w:rPr>
      <w:t>2</w:t>
    </w:r>
    <w:r>
      <w:rPr>
        <w:b/>
        <w:bCs/>
        <w:szCs w:val="24"/>
      </w:rPr>
      <w:fldChar w:fldCharType="end"/>
    </w:r>
  </w:p>
  <w:p w:rsidR="00986AC0" w:rsidRDefault="00FA2508">
    <w:pPr>
      <w:pStyle w:val="AltBilgi"/>
      <w:rPr>
        <w:rFonts w:ascii="Arial" w:hAnsi="Arial" w:cs="Arial"/>
        <w:color w:val="808080"/>
        <w:sz w:val="20"/>
      </w:rPr>
    </w:pPr>
    <w:r>
      <w:rPr>
        <w:rFonts w:ascii="Arial" w:hAnsi="Arial" w:cs="Arial"/>
        <w:color w:val="808080"/>
        <w:sz w:val="20"/>
      </w:rPr>
      <w:t xml:space="preserve">Form BAP-01-TR / </w:t>
    </w:r>
    <w:r>
      <w:rPr>
        <w:rFonts w:ascii="Arial" w:hAnsi="Arial" w:cs="Arial"/>
        <w:color w:val="808080"/>
        <w:sz w:val="18"/>
        <w:szCs w:val="18"/>
      </w:rP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AC0" w:rsidRDefault="00986A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508" w:rsidRDefault="00FA2508">
      <w:r>
        <w:separator/>
      </w:r>
    </w:p>
  </w:footnote>
  <w:footnote w:type="continuationSeparator" w:id="0">
    <w:p w:rsidR="00FA2508" w:rsidRDefault="00FA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AC0" w:rsidRDefault="00986AC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856" w:type="dxa"/>
      <w:tblLook w:val="04A0" w:firstRow="1" w:lastRow="0" w:firstColumn="1" w:lastColumn="0" w:noHBand="0" w:noVBand="1"/>
    </w:tblPr>
    <w:tblGrid>
      <w:gridCol w:w="1531"/>
      <w:gridCol w:w="6413"/>
      <w:gridCol w:w="1417"/>
      <w:gridCol w:w="1555"/>
    </w:tblGrid>
    <w:tr w:rsidR="00986AC0">
      <w:trPr>
        <w:trHeight w:val="315"/>
      </w:trPr>
      <w:tc>
        <w:tcPr>
          <w:tcW w:w="1531" w:type="dxa"/>
          <w:vMerge w:val="restart"/>
          <w:shd w:val="clear" w:color="auto" w:fill="auto"/>
        </w:tcPr>
        <w:p w:rsidR="00986AC0" w:rsidRDefault="00FA2508">
          <w:r>
            <w:rPr>
              <w:noProof/>
            </w:rPr>
            <w:drawing>
              <wp:inline distT="0" distB="0" distL="0" distR="0">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9150" cy="819150"/>
                        </a:xfrm>
                        <a:prstGeom prst="rect">
                          <a:avLst/>
                        </a:prstGeom>
                        <a:noFill/>
                        <a:ln>
                          <a:noFill/>
                        </a:ln>
                      </pic:spPr>
                    </pic:pic>
                  </a:graphicData>
                </a:graphic>
              </wp:inline>
            </w:drawing>
          </w:r>
        </w:p>
      </w:tc>
      <w:tc>
        <w:tcPr>
          <w:tcW w:w="6413" w:type="dxa"/>
          <w:vMerge w:val="restart"/>
          <w:tcBorders>
            <w:right w:val="single" w:sz="4" w:space="0" w:color="auto"/>
          </w:tcBorders>
          <w:shd w:val="clear" w:color="auto" w:fill="auto"/>
        </w:tcPr>
        <w:p w:rsidR="00986AC0" w:rsidRDefault="00FA2508">
          <w:pPr>
            <w:jc w:val="center"/>
            <w:rPr>
              <w:rFonts w:ascii="Cambria" w:hAnsi="Cambria"/>
              <w:b/>
              <w:szCs w:val="24"/>
            </w:rPr>
          </w:pPr>
          <w:r>
            <w:rPr>
              <w:rFonts w:ascii="Cambria" w:hAnsi="Cambria"/>
              <w:b/>
              <w:szCs w:val="24"/>
            </w:rPr>
            <w:t>T.C.</w:t>
          </w:r>
        </w:p>
        <w:p w:rsidR="00986AC0" w:rsidRDefault="00FA2508">
          <w:pPr>
            <w:jc w:val="center"/>
            <w:rPr>
              <w:rFonts w:ascii="Cambria" w:hAnsi="Cambria"/>
              <w:b/>
              <w:szCs w:val="24"/>
            </w:rPr>
          </w:pPr>
          <w:r>
            <w:rPr>
              <w:rFonts w:ascii="Cambria" w:hAnsi="Cambria"/>
              <w:b/>
              <w:szCs w:val="24"/>
            </w:rPr>
            <w:t>İZMİR YÜKSEK TEKNOLOJİ ENSTİTÜSÜ</w:t>
          </w:r>
        </w:p>
        <w:p w:rsidR="00986AC0" w:rsidRDefault="00FA2508">
          <w:pPr>
            <w:jc w:val="center"/>
            <w:rPr>
              <w:rFonts w:ascii="Cambria" w:hAnsi="Cambria"/>
              <w:b/>
              <w:szCs w:val="24"/>
            </w:rPr>
          </w:pPr>
          <w:r>
            <w:rPr>
              <w:rFonts w:ascii="Cambria" w:hAnsi="Cambria"/>
              <w:b/>
              <w:szCs w:val="24"/>
            </w:rPr>
            <w:t>Bilimsel Araştırma Projeleri Koordinatörlüğü</w:t>
          </w:r>
        </w:p>
        <w:p w:rsidR="00986AC0" w:rsidRDefault="00986AC0">
          <w:pPr>
            <w:rPr>
              <w:rFonts w:ascii="Cambria" w:hAnsi="Cambria"/>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6AC0" w:rsidRDefault="00FA2508">
          <w:pPr>
            <w:rPr>
              <w:rFonts w:ascii="Cambria" w:hAnsi="Cambria"/>
              <w:b/>
              <w:sz w:val="16"/>
              <w:szCs w:val="16"/>
            </w:rPr>
          </w:pPr>
          <w:r>
            <w:rPr>
              <w:rFonts w:ascii="Cambria" w:hAnsi="Cambria"/>
              <w:b/>
              <w:sz w:val="16"/>
              <w:szCs w:val="16"/>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86AC0" w:rsidRDefault="00FA2508">
          <w:pPr>
            <w:rPr>
              <w:rFonts w:ascii="Cambria" w:hAnsi="Cambria"/>
              <w:sz w:val="16"/>
              <w:szCs w:val="16"/>
            </w:rPr>
          </w:pPr>
          <w:r>
            <w:rPr>
              <w:rFonts w:ascii="Cambria" w:hAnsi="Cambria"/>
              <w:sz w:val="16"/>
              <w:szCs w:val="16"/>
            </w:rPr>
            <w:t>İYTE-BAPK-</w:t>
          </w:r>
          <w:r>
            <w:rPr>
              <w:rFonts w:ascii="Cambria" w:hAnsi="Cambria"/>
              <w:sz w:val="16"/>
              <w:szCs w:val="16"/>
            </w:rPr>
            <w:t>0021</w:t>
          </w:r>
        </w:p>
      </w:tc>
    </w:tr>
    <w:tr w:rsidR="00986AC0">
      <w:trPr>
        <w:trHeight w:val="315"/>
      </w:trPr>
      <w:tc>
        <w:tcPr>
          <w:tcW w:w="1531" w:type="dxa"/>
          <w:vMerge/>
          <w:shd w:val="clear" w:color="auto" w:fill="auto"/>
        </w:tcPr>
        <w:p w:rsidR="00986AC0" w:rsidRDefault="00986AC0"/>
      </w:tc>
      <w:tc>
        <w:tcPr>
          <w:tcW w:w="6413" w:type="dxa"/>
          <w:vMerge/>
          <w:tcBorders>
            <w:right w:val="single" w:sz="4" w:space="0" w:color="auto"/>
          </w:tcBorders>
          <w:shd w:val="clear" w:color="auto" w:fill="auto"/>
        </w:tcPr>
        <w:p w:rsidR="00986AC0" w:rsidRDefault="00986AC0"/>
      </w:tc>
      <w:tc>
        <w:tcPr>
          <w:tcW w:w="1417" w:type="dxa"/>
          <w:tcBorders>
            <w:top w:val="single" w:sz="4" w:space="0" w:color="auto"/>
            <w:left w:val="single" w:sz="4" w:space="0" w:color="auto"/>
            <w:bottom w:val="single" w:sz="4" w:space="0" w:color="auto"/>
            <w:right w:val="single" w:sz="4" w:space="0" w:color="auto"/>
          </w:tcBorders>
          <w:shd w:val="clear" w:color="auto" w:fill="auto"/>
        </w:tcPr>
        <w:p w:rsidR="00986AC0" w:rsidRDefault="00FA2508">
          <w:pPr>
            <w:rPr>
              <w:rFonts w:ascii="Cambria" w:hAnsi="Cambria"/>
              <w:sz w:val="16"/>
              <w:szCs w:val="16"/>
            </w:rPr>
          </w:pPr>
          <w:r>
            <w:rPr>
              <w:rFonts w:ascii="Cambria" w:hAnsi="Cambria"/>
              <w:sz w:val="16"/>
              <w:szCs w:val="16"/>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86AC0" w:rsidRDefault="00FA2508">
          <w:pPr>
            <w:rPr>
              <w:rFonts w:ascii="Cambria" w:hAnsi="Cambria"/>
              <w:sz w:val="16"/>
              <w:szCs w:val="16"/>
            </w:rPr>
          </w:pPr>
          <w:r>
            <w:rPr>
              <w:rFonts w:ascii="Cambria" w:hAnsi="Cambria"/>
              <w:sz w:val="16"/>
              <w:szCs w:val="16"/>
            </w:rPr>
            <w:t>14.08.2025</w:t>
          </w:r>
        </w:p>
      </w:tc>
    </w:tr>
    <w:tr w:rsidR="00986AC0">
      <w:trPr>
        <w:trHeight w:val="315"/>
      </w:trPr>
      <w:tc>
        <w:tcPr>
          <w:tcW w:w="1531" w:type="dxa"/>
          <w:vMerge/>
          <w:shd w:val="clear" w:color="auto" w:fill="auto"/>
        </w:tcPr>
        <w:p w:rsidR="00986AC0" w:rsidRDefault="00986AC0"/>
      </w:tc>
      <w:tc>
        <w:tcPr>
          <w:tcW w:w="6413" w:type="dxa"/>
          <w:vMerge/>
          <w:tcBorders>
            <w:right w:val="single" w:sz="4" w:space="0" w:color="auto"/>
          </w:tcBorders>
          <w:shd w:val="clear" w:color="auto" w:fill="auto"/>
        </w:tcPr>
        <w:p w:rsidR="00986AC0" w:rsidRDefault="00986AC0"/>
      </w:tc>
      <w:tc>
        <w:tcPr>
          <w:tcW w:w="1417" w:type="dxa"/>
          <w:tcBorders>
            <w:top w:val="single" w:sz="4" w:space="0" w:color="auto"/>
            <w:left w:val="single" w:sz="4" w:space="0" w:color="auto"/>
            <w:bottom w:val="single" w:sz="4" w:space="0" w:color="auto"/>
            <w:right w:val="single" w:sz="4" w:space="0" w:color="auto"/>
          </w:tcBorders>
          <w:shd w:val="clear" w:color="auto" w:fill="auto"/>
        </w:tcPr>
        <w:p w:rsidR="00986AC0" w:rsidRDefault="00FA2508">
          <w:pPr>
            <w:rPr>
              <w:rFonts w:ascii="Cambria" w:hAnsi="Cambria"/>
              <w:sz w:val="16"/>
              <w:szCs w:val="16"/>
            </w:rPr>
          </w:pPr>
          <w:r>
            <w:rPr>
              <w:rFonts w:ascii="Cambria" w:hAnsi="Cambria"/>
              <w:sz w:val="16"/>
              <w:szCs w:val="16"/>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86AC0" w:rsidRDefault="00986AC0">
          <w:pPr>
            <w:rPr>
              <w:rFonts w:ascii="Cambria" w:hAnsi="Cambria"/>
              <w:sz w:val="16"/>
              <w:szCs w:val="16"/>
            </w:rPr>
          </w:pPr>
        </w:p>
      </w:tc>
    </w:tr>
    <w:tr w:rsidR="00986AC0">
      <w:trPr>
        <w:trHeight w:val="315"/>
      </w:trPr>
      <w:tc>
        <w:tcPr>
          <w:tcW w:w="1531" w:type="dxa"/>
          <w:vMerge/>
          <w:shd w:val="clear" w:color="auto" w:fill="auto"/>
        </w:tcPr>
        <w:p w:rsidR="00986AC0" w:rsidRDefault="00986AC0"/>
      </w:tc>
      <w:tc>
        <w:tcPr>
          <w:tcW w:w="6413" w:type="dxa"/>
          <w:vMerge/>
          <w:tcBorders>
            <w:right w:val="single" w:sz="4" w:space="0" w:color="auto"/>
          </w:tcBorders>
          <w:shd w:val="clear" w:color="auto" w:fill="auto"/>
        </w:tcPr>
        <w:p w:rsidR="00986AC0" w:rsidRDefault="00986AC0"/>
      </w:tc>
      <w:tc>
        <w:tcPr>
          <w:tcW w:w="1417" w:type="dxa"/>
          <w:tcBorders>
            <w:top w:val="single" w:sz="4" w:space="0" w:color="auto"/>
            <w:left w:val="single" w:sz="4" w:space="0" w:color="auto"/>
            <w:bottom w:val="single" w:sz="4" w:space="0" w:color="auto"/>
            <w:right w:val="single" w:sz="4" w:space="0" w:color="auto"/>
          </w:tcBorders>
          <w:shd w:val="clear" w:color="auto" w:fill="auto"/>
        </w:tcPr>
        <w:p w:rsidR="00986AC0" w:rsidRDefault="00FA2508">
          <w:pPr>
            <w:rPr>
              <w:rFonts w:ascii="Cambria" w:hAnsi="Cambria"/>
              <w:sz w:val="16"/>
              <w:szCs w:val="16"/>
            </w:rPr>
          </w:pPr>
          <w:r>
            <w:rPr>
              <w:rFonts w:ascii="Cambria" w:hAnsi="Cambria"/>
              <w:sz w:val="16"/>
              <w:szCs w:val="16"/>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86AC0" w:rsidRDefault="00986AC0">
          <w:pPr>
            <w:rPr>
              <w:rFonts w:ascii="Cambria" w:hAnsi="Cambria"/>
              <w:sz w:val="16"/>
              <w:szCs w:val="16"/>
            </w:rPr>
          </w:pPr>
        </w:p>
      </w:tc>
    </w:tr>
    <w:tr w:rsidR="00986AC0">
      <w:trPr>
        <w:trHeight w:val="571"/>
      </w:trPr>
      <w:tc>
        <w:tcPr>
          <w:tcW w:w="10916" w:type="dxa"/>
          <w:gridSpan w:val="4"/>
          <w:shd w:val="clear" w:color="auto" w:fill="auto"/>
        </w:tcPr>
        <w:p w:rsidR="00986AC0" w:rsidRDefault="00FA2508">
          <w:pPr>
            <w:rPr>
              <w:rFonts w:asciiTheme="majorHAnsi" w:hAnsiTheme="majorHAnsi"/>
              <w:b/>
              <w:szCs w:val="24"/>
            </w:rPr>
          </w:pPr>
          <w:r>
            <w:rPr>
              <w:rFonts w:asciiTheme="majorHAnsi" w:hAnsiTheme="majorHAnsi"/>
              <w:b/>
              <w:szCs w:val="24"/>
            </w:rPr>
            <w:t xml:space="preserve">                        </w:t>
          </w:r>
        </w:p>
        <w:p w:rsidR="00986AC0" w:rsidRDefault="00986AC0">
          <w:pPr>
            <w:rPr>
              <w:rFonts w:asciiTheme="majorHAnsi" w:hAnsiTheme="majorHAnsi"/>
              <w:b/>
              <w:szCs w:val="24"/>
            </w:rPr>
          </w:pPr>
        </w:p>
      </w:tc>
    </w:tr>
  </w:tbl>
  <w:p w:rsidR="00986AC0" w:rsidRDefault="00FA2508">
    <w:pPr>
      <w:pStyle w:val="Balk1"/>
      <w:spacing w:before="75"/>
      <w:ind w:left="0"/>
      <w:jc w:val="center"/>
      <w:rPr>
        <w:szCs w:val="24"/>
      </w:rPr>
    </w:pPr>
    <w:r>
      <w:rPr>
        <w:rFonts w:ascii="Arial" w:hAnsi="Arial" w:cs="Arial"/>
        <w:sz w:val="22"/>
        <w:szCs w:val="22"/>
      </w:rPr>
      <w:tab/>
    </w:r>
    <w:r>
      <w:rPr>
        <w:szCs w:val="24"/>
      </w:rPr>
      <w:t xml:space="preserve">TU11 TEKNİK ÜNİVERSİTELER BİRLİĞİ İŞ BİRLİĞİ PROJELERİ </w:t>
    </w:r>
  </w:p>
  <w:p w:rsidR="00986AC0" w:rsidRDefault="00FA2508">
    <w:pPr>
      <w:pStyle w:val="Balk1"/>
      <w:spacing w:before="75"/>
      <w:ind w:left="0"/>
      <w:jc w:val="center"/>
      <w:rPr>
        <w:szCs w:val="24"/>
      </w:rPr>
    </w:pPr>
    <w:r>
      <w:rPr>
        <w:szCs w:val="24"/>
      </w:rPr>
      <w:t>UYGULAMA ESASLARI</w:t>
    </w:r>
  </w:p>
  <w:p w:rsidR="00986AC0" w:rsidRDefault="00986AC0">
    <w:pPr>
      <w:pStyle w:val="Balk1"/>
      <w:spacing w:before="75"/>
      <w:ind w:left="0"/>
      <w:jc w:val="center"/>
      <w:rPr>
        <w:szCs w:val="24"/>
      </w:rPr>
    </w:pPr>
  </w:p>
  <w:p w:rsidR="00986AC0" w:rsidRDefault="00986AC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AC0" w:rsidRDefault="00986A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B5C79"/>
    <w:multiLevelType w:val="multilevel"/>
    <w:tmpl w:val="0B9B5C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9245F0"/>
    <w:multiLevelType w:val="multilevel"/>
    <w:tmpl w:val="20924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F9913CD"/>
    <w:multiLevelType w:val="multilevel"/>
    <w:tmpl w:val="3F991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2283704"/>
    <w:multiLevelType w:val="multilevel"/>
    <w:tmpl w:val="42283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8B9"/>
    <w:rsid w:val="00010631"/>
    <w:rsid w:val="00016040"/>
    <w:rsid w:val="00023263"/>
    <w:rsid w:val="000473E7"/>
    <w:rsid w:val="0005444A"/>
    <w:rsid w:val="00054C40"/>
    <w:rsid w:val="00070EED"/>
    <w:rsid w:val="000877E0"/>
    <w:rsid w:val="000A6DD2"/>
    <w:rsid w:val="000B49E7"/>
    <w:rsid w:val="000E5C35"/>
    <w:rsid w:val="00124ACF"/>
    <w:rsid w:val="0012614B"/>
    <w:rsid w:val="001536D9"/>
    <w:rsid w:val="00161682"/>
    <w:rsid w:val="001A73AF"/>
    <w:rsid w:val="001B77A9"/>
    <w:rsid w:val="001D2B38"/>
    <w:rsid w:val="001E00B3"/>
    <w:rsid w:val="001E2C57"/>
    <w:rsid w:val="00224F43"/>
    <w:rsid w:val="00243E52"/>
    <w:rsid w:val="0024516C"/>
    <w:rsid w:val="00251428"/>
    <w:rsid w:val="00277AA5"/>
    <w:rsid w:val="00277FF3"/>
    <w:rsid w:val="002F1434"/>
    <w:rsid w:val="003048B3"/>
    <w:rsid w:val="00310B63"/>
    <w:rsid w:val="00311F32"/>
    <w:rsid w:val="00313081"/>
    <w:rsid w:val="003140C1"/>
    <w:rsid w:val="00317A7D"/>
    <w:rsid w:val="00343181"/>
    <w:rsid w:val="00346E1B"/>
    <w:rsid w:val="00362D55"/>
    <w:rsid w:val="0039003A"/>
    <w:rsid w:val="003A6AB5"/>
    <w:rsid w:val="003F7925"/>
    <w:rsid w:val="00406F0A"/>
    <w:rsid w:val="0041038A"/>
    <w:rsid w:val="004623C3"/>
    <w:rsid w:val="00464BF1"/>
    <w:rsid w:val="00472DCA"/>
    <w:rsid w:val="00482712"/>
    <w:rsid w:val="0048621F"/>
    <w:rsid w:val="00492F77"/>
    <w:rsid w:val="004D1617"/>
    <w:rsid w:val="004F087E"/>
    <w:rsid w:val="00530D50"/>
    <w:rsid w:val="00534716"/>
    <w:rsid w:val="00534B8D"/>
    <w:rsid w:val="00554208"/>
    <w:rsid w:val="00596628"/>
    <w:rsid w:val="005B5AF9"/>
    <w:rsid w:val="005B6659"/>
    <w:rsid w:val="005D56B0"/>
    <w:rsid w:val="005D7C9D"/>
    <w:rsid w:val="005E53A1"/>
    <w:rsid w:val="00602146"/>
    <w:rsid w:val="00611853"/>
    <w:rsid w:val="006618B5"/>
    <w:rsid w:val="00684952"/>
    <w:rsid w:val="00691385"/>
    <w:rsid w:val="00697C8F"/>
    <w:rsid w:val="006A28ED"/>
    <w:rsid w:val="006B5069"/>
    <w:rsid w:val="006B5A57"/>
    <w:rsid w:val="006C133F"/>
    <w:rsid w:val="006C318F"/>
    <w:rsid w:val="006C5BA2"/>
    <w:rsid w:val="006E67CA"/>
    <w:rsid w:val="006E6C70"/>
    <w:rsid w:val="006E7C0C"/>
    <w:rsid w:val="006F0ECF"/>
    <w:rsid w:val="00704584"/>
    <w:rsid w:val="00706D09"/>
    <w:rsid w:val="00727804"/>
    <w:rsid w:val="007356C2"/>
    <w:rsid w:val="0073750D"/>
    <w:rsid w:val="007614C0"/>
    <w:rsid w:val="007640EA"/>
    <w:rsid w:val="0077337A"/>
    <w:rsid w:val="007B3BA7"/>
    <w:rsid w:val="007B655F"/>
    <w:rsid w:val="007C2AC2"/>
    <w:rsid w:val="007D06F7"/>
    <w:rsid w:val="007D61DC"/>
    <w:rsid w:val="007D6D4E"/>
    <w:rsid w:val="007E0333"/>
    <w:rsid w:val="007E3EEC"/>
    <w:rsid w:val="00800BC6"/>
    <w:rsid w:val="00841400"/>
    <w:rsid w:val="008604D1"/>
    <w:rsid w:val="0086759D"/>
    <w:rsid w:val="008722F8"/>
    <w:rsid w:val="00890E23"/>
    <w:rsid w:val="008D4C7A"/>
    <w:rsid w:val="008D5FBF"/>
    <w:rsid w:val="008F1C7A"/>
    <w:rsid w:val="00917168"/>
    <w:rsid w:val="009246B7"/>
    <w:rsid w:val="00951FE7"/>
    <w:rsid w:val="00954AD0"/>
    <w:rsid w:val="009679E9"/>
    <w:rsid w:val="00985C66"/>
    <w:rsid w:val="00986AC0"/>
    <w:rsid w:val="009F18A0"/>
    <w:rsid w:val="00A736E3"/>
    <w:rsid w:val="00A825DD"/>
    <w:rsid w:val="00A95475"/>
    <w:rsid w:val="00AA1913"/>
    <w:rsid w:val="00AA4CAA"/>
    <w:rsid w:val="00AA6507"/>
    <w:rsid w:val="00AE58CF"/>
    <w:rsid w:val="00B00C99"/>
    <w:rsid w:val="00B0105B"/>
    <w:rsid w:val="00B27C29"/>
    <w:rsid w:val="00B55491"/>
    <w:rsid w:val="00B60300"/>
    <w:rsid w:val="00B67FA9"/>
    <w:rsid w:val="00B72ACE"/>
    <w:rsid w:val="00B768AD"/>
    <w:rsid w:val="00B825E9"/>
    <w:rsid w:val="00B83696"/>
    <w:rsid w:val="00B8659D"/>
    <w:rsid w:val="00BB66F9"/>
    <w:rsid w:val="00BC0D4A"/>
    <w:rsid w:val="00BD3462"/>
    <w:rsid w:val="00BE1C1A"/>
    <w:rsid w:val="00C36C47"/>
    <w:rsid w:val="00C613FE"/>
    <w:rsid w:val="00C846B2"/>
    <w:rsid w:val="00C905C2"/>
    <w:rsid w:val="00C95D2A"/>
    <w:rsid w:val="00CC1308"/>
    <w:rsid w:val="00CC2257"/>
    <w:rsid w:val="00CF4ED4"/>
    <w:rsid w:val="00D03E53"/>
    <w:rsid w:val="00D225D9"/>
    <w:rsid w:val="00D248F9"/>
    <w:rsid w:val="00D527E3"/>
    <w:rsid w:val="00D62B77"/>
    <w:rsid w:val="00D7607B"/>
    <w:rsid w:val="00D82C02"/>
    <w:rsid w:val="00D8333F"/>
    <w:rsid w:val="00DF21DC"/>
    <w:rsid w:val="00DF5DC4"/>
    <w:rsid w:val="00E03AAF"/>
    <w:rsid w:val="00E148D7"/>
    <w:rsid w:val="00E24910"/>
    <w:rsid w:val="00E52B68"/>
    <w:rsid w:val="00E74FF6"/>
    <w:rsid w:val="00E90870"/>
    <w:rsid w:val="00EA5011"/>
    <w:rsid w:val="00EB36F5"/>
    <w:rsid w:val="00EB7636"/>
    <w:rsid w:val="00EC17FD"/>
    <w:rsid w:val="00EC411C"/>
    <w:rsid w:val="00EC58B9"/>
    <w:rsid w:val="00ED5495"/>
    <w:rsid w:val="00F02567"/>
    <w:rsid w:val="00F30D98"/>
    <w:rsid w:val="00F30F16"/>
    <w:rsid w:val="00F33A88"/>
    <w:rsid w:val="00F96944"/>
    <w:rsid w:val="00F9766E"/>
    <w:rsid w:val="00FA2508"/>
    <w:rsid w:val="00FC338B"/>
    <w:rsid w:val="00FD155C"/>
    <w:rsid w:val="00FE5351"/>
    <w:rsid w:val="00FF33D6"/>
    <w:rsid w:val="2D0C55FD"/>
    <w:rsid w:val="2EB8138E"/>
    <w:rsid w:val="30C36E2E"/>
    <w:rsid w:val="37FF6CB4"/>
    <w:rsid w:val="557B6617"/>
    <w:rsid w:val="5FFD75B6"/>
    <w:rsid w:val="6BFC5671"/>
    <w:rsid w:val="74AD7A79"/>
    <w:rsid w:val="75B726B5"/>
    <w:rsid w:val="7923145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1D86B0-2767-41A8-ADE8-52F957CB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Balk1">
    <w:name w:val="heading 1"/>
    <w:basedOn w:val="Normal"/>
    <w:qFormat/>
    <w:pPr>
      <w:keepNext/>
      <w:ind w:left="705"/>
      <w:jc w:val="both"/>
      <w:outlineLvl w:val="0"/>
    </w:pPr>
    <w:rPr>
      <w:b/>
    </w:rPr>
  </w:style>
  <w:style w:type="paragraph" w:styleId="Balk2">
    <w:name w:val="heading 2"/>
    <w:basedOn w:val="Normal"/>
    <w:next w:val="Normal"/>
    <w:qFormat/>
    <w:pPr>
      <w:keepNext/>
      <w:tabs>
        <w:tab w:val="left" w:pos="307"/>
        <w:tab w:val="left" w:pos="1690"/>
        <w:tab w:val="left" w:pos="3290"/>
        <w:tab w:val="left" w:pos="4661"/>
        <w:tab w:val="left" w:pos="6262"/>
        <w:tab w:val="left" w:pos="7632"/>
        <w:tab w:val="left" w:pos="9233"/>
      </w:tabs>
      <w:outlineLvl w:val="1"/>
    </w:pPr>
    <w:rPr>
      <w:rFonts w:ascii="Turkish Times New Roman" w:hAnsi="Turkish Times New Roman"/>
      <w:b/>
      <w:color w:val="000000"/>
    </w:rPr>
  </w:style>
  <w:style w:type="paragraph" w:styleId="Balk4">
    <w:name w:val="heading 4"/>
    <w:basedOn w:val="Normal"/>
    <w:next w:val="Normal"/>
    <w:qFormat/>
    <w:pPr>
      <w:keepNext/>
      <w:outlineLvl w:val="3"/>
    </w:pPr>
    <w:rPr>
      <w:rFonts w:ascii="Turkish Times New Roman" w:hAnsi="Turkish Times New Roman"/>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qFormat/>
    <w:rPr>
      <w:rFonts w:ascii="Tahoma" w:hAnsi="Tahoma" w:cs="Tahoma"/>
      <w:sz w:val="16"/>
      <w:szCs w:val="16"/>
    </w:rPr>
  </w:style>
  <w:style w:type="paragraph" w:styleId="GvdeMetni">
    <w:name w:val="Body Text"/>
    <w:basedOn w:val="Normal"/>
    <w:qFormat/>
    <w:pPr>
      <w:jc w:val="center"/>
    </w:pPr>
    <w:rPr>
      <w:lang w:val="en-AU"/>
    </w:rPr>
  </w:style>
  <w:style w:type="paragraph" w:styleId="GvdeMetni3">
    <w:name w:val="Body Text 3"/>
    <w:basedOn w:val="Normal"/>
    <w:qFormat/>
    <w:pPr>
      <w:tabs>
        <w:tab w:val="left" w:pos="307"/>
        <w:tab w:val="left" w:pos="1690"/>
        <w:tab w:val="left" w:pos="3290"/>
        <w:tab w:val="left" w:pos="4661"/>
        <w:tab w:val="left" w:pos="6262"/>
        <w:tab w:val="left" w:pos="7632"/>
        <w:tab w:val="left" w:pos="9233"/>
      </w:tabs>
    </w:pPr>
    <w:rPr>
      <w:rFonts w:ascii="Turkish Times New Roman" w:hAnsi="Turkish Times New Roman"/>
      <w:color w:val="000000"/>
    </w:rPr>
  </w:style>
  <w:style w:type="paragraph" w:styleId="GvdeMetniGirintisi">
    <w:name w:val="Body Text Indent"/>
    <w:basedOn w:val="Normal"/>
    <w:qFormat/>
    <w:rPr>
      <w:lang w:val="en-AU"/>
    </w:rPr>
  </w:style>
  <w:style w:type="paragraph" w:styleId="AltBilgi">
    <w:name w:val="footer"/>
    <w:basedOn w:val="Normal"/>
    <w:link w:val="AltBilgiChar"/>
    <w:uiPriority w:val="99"/>
    <w:qFormat/>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paragraph" w:styleId="HTMLncedenBiimlendirilmi">
    <w:name w:val="HTML Preformatted"/>
    <w:basedOn w:val="Normal"/>
    <w:link w:val="HTMLncedenBiimlendirilmi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lang w:val="en-US" w:eastAsia="en-US"/>
    </w:rPr>
  </w:style>
  <w:style w:type="character" w:styleId="SayfaNumaras">
    <w:name w:val="page number"/>
    <w:basedOn w:val="VarsaylanParagrafYazTipi"/>
    <w:qFormat/>
  </w:style>
  <w:style w:type="character" w:styleId="Gl">
    <w:name w:val="Strong"/>
    <w:uiPriority w:val="22"/>
    <w:qFormat/>
    <w:rPr>
      <w:b/>
      <w:bCs/>
    </w:rPr>
  </w:style>
  <w:style w:type="table" w:styleId="TabloKlavuzu">
    <w:name w:val="Table Grid"/>
    <w:basedOn w:val="NormalTablo"/>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qFormat/>
    <w:rPr>
      <w:sz w:val="24"/>
    </w:rPr>
  </w:style>
  <w:style w:type="character" w:customStyle="1" w:styleId="AltBilgiChar">
    <w:name w:val="Alt Bilgi Char"/>
    <w:link w:val="AltBilgi"/>
    <w:uiPriority w:val="99"/>
    <w:qFormat/>
    <w:rPr>
      <w:sz w:val="24"/>
    </w:rPr>
  </w:style>
  <w:style w:type="character" w:customStyle="1" w:styleId="HTMLncedenBiimlendirilmiChar">
    <w:name w:val="HTML Önceden Biçimlendirilmiş Char"/>
    <w:basedOn w:val="VarsaylanParagrafYazTipi"/>
    <w:link w:val="HTMLncedenBiimlendirilmi"/>
    <w:uiPriority w:val="99"/>
    <w:qFormat/>
    <w:rPr>
      <w:rFonts w:ascii="Courier" w:hAnsi="Courier" w:cs="Courier"/>
      <w:lang w:val="en-US" w:eastAsia="en-US"/>
    </w:rPr>
  </w:style>
  <w:style w:type="paragraph" w:customStyle="1" w:styleId="WW-NormalWeb1">
    <w:name w:val="WW-Normal (Web)1"/>
    <w:basedOn w:val="Normal"/>
    <w:qFormat/>
    <w:pPr>
      <w:spacing w:before="280" w:after="119"/>
    </w:pPr>
    <w:rPr>
      <w:lang w:eastAsia="ar-SA"/>
    </w:rPr>
  </w:style>
  <w:style w:type="paragraph" w:customStyle="1" w:styleId="Altbilgi0">
    <w:name w:val="Altbilgi"/>
    <w:basedOn w:val="Normal"/>
    <w:uiPriority w:val="99"/>
    <w:qFormat/>
    <w:pPr>
      <w:tabs>
        <w:tab w:val="center" w:pos="4536"/>
        <w:tab w:val="right" w:pos="9072"/>
      </w:tabs>
    </w:pPr>
  </w:style>
  <w:style w:type="paragraph" w:styleId="AralkYok">
    <w:name w:val="No Spacing"/>
    <w:uiPriority w:val="1"/>
    <w:qFormat/>
    <w:pPr>
      <w:widowControl w:val="0"/>
      <w:autoSpaceDE w:val="0"/>
      <w:autoSpaceDN w:val="0"/>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İZMİR YÜKSEK TEKNOLOJİ ENSTİTÜSÜ</vt:lpstr>
    </vt:vector>
  </TitlesOfParts>
  <Company>IYTE</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İZMİR YÜKSEK TEKNOLOJİ ENSTİTÜSÜ</dc:title>
  <dc:creator>Atila TURAN</dc:creator>
  <cp:lastModifiedBy>lenovo</cp:lastModifiedBy>
  <cp:revision>2</cp:revision>
  <cp:lastPrinted>2011-01-23T18:47:00Z</cp:lastPrinted>
  <dcterms:created xsi:type="dcterms:W3CDTF">2025-08-17T17:54:00Z</dcterms:created>
  <dcterms:modified xsi:type="dcterms:W3CDTF">2025-08-17T17:54:00Z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1055-12.2.0.21931</vt:lpwstr>
  </property>
  <property fmtid="{D5CDD505-2E9C-101B-9397-08002B2CF9AE}" pid="3" name="ICV">
    <vt:lpwstr>35A7922AEFD249C4807099C6DDE16FC5_13</vt:lpwstr>
  </property>
</Properties>
</file>